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B96332">
            <w:rPr>
              <w:b/>
              <w:sz w:val="28"/>
              <w:szCs w:val="28"/>
            </w:rPr>
            <w:t xml:space="preserve"> </w:t>
          </w:r>
          <w:r w:rsidR="00B96332">
            <w:rPr>
              <w:b/>
              <w:i/>
              <w:sz w:val="28"/>
              <w:szCs w:val="28"/>
            </w:rPr>
            <w:t>n</w:t>
          </w:r>
          <w:r w:rsidR="00B96332">
            <w:rPr>
              <w:b/>
              <w:sz w:val="28"/>
              <w:szCs w:val="28"/>
            </w:rPr>
            <w:t xml:space="preserve"> + </w:t>
          </w:r>
          <w:r w:rsidR="00B63EBD">
            <w:rPr>
              <w:b/>
              <w:sz w:val="28"/>
              <w:szCs w:val="28"/>
            </w:rPr>
            <w:t>2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B96332">
            <w:rPr>
              <w:sz w:val="28"/>
              <w:szCs w:val="28"/>
            </w:rPr>
            <w:t>Right-Hand Rule #2</w:t>
          </w:r>
        </w:p>
        <w:tbl>
          <w:tblPr>
            <w:tblStyle w:val="TableGrid"/>
            <w:tblW w:w="9350" w:type="dxa"/>
            <w:tblLook w:val="04A0"/>
          </w:tblPr>
          <w:tblGrid>
            <w:gridCol w:w="2547"/>
            <w:gridCol w:w="1984"/>
            <w:gridCol w:w="1560"/>
            <w:gridCol w:w="3259"/>
          </w:tblGrid>
          <w:tr w:rsidR="00FD7E9C">
            <w:tc>
              <w:tcPr>
                <w:tcW w:w="2547" w:type="dxa"/>
                <w:shd w:val="clear" w:color="auto" w:fill="A8D08D" w:themeFill="accent6" w:themeFillTint="99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1984" w:type="dxa"/>
                <w:shd w:val="clear" w:color="auto" w:fill="A8D08D" w:themeFill="accent6" w:themeFillTint="99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819" w:type="dxa"/>
                <w:gridSpan w:val="2"/>
                <w:shd w:val="clear" w:color="auto" w:fill="A8D08D" w:themeFill="accent6" w:themeFillTint="99"/>
              </w:tcPr>
              <w:p w:rsidR="00FD7E9C" w:rsidRDefault="00FD7E9C" w:rsidP="00B96332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B96332">
                  <w:t>Electricity and Magnetism</w:t>
                </w:r>
                <w:r>
                  <w:t xml:space="preserve">  </w:t>
                </w:r>
              </w:p>
            </w:tc>
          </w:tr>
          <w:tr w:rsidR="00FD7E9C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B96332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B96332" w:rsidP="002F3B67">
                <w:r>
                  <w:t>Introduce the second Right-Hand Rule, and explore how it can be employed to design a simple electric motor using wire, an AA battery, and a couple of rare-earth magnets</w:t>
                </w:r>
                <w:r w:rsidR="002F3B67">
                  <w:t xml:space="preserve"> </w:t>
                </w:r>
              </w:p>
            </w:tc>
          </w:tr>
          <w:tr w:rsidR="00FD7E9C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B96332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114D4D" w:rsidRDefault="00114D4D" w:rsidP="00056AAE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F3.4 explain Ohm’s law, Kirchhoff’s laws,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Oersted’s</w:t>
                </w:r>
                <w:proofErr w:type="spellEnd"/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principle, the motor principle,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Faraday’s law, and Lenz’s law in relation to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electricity and magnetism</w:t>
                </w:r>
              </w:p>
              <w:p w:rsidR="00056AAE" w:rsidRPr="00056AAE" w:rsidRDefault="00114D4D" w:rsidP="00056AAE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F3.5 describe the production and interaction of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magnetic fields, using diagrams and the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principles of electromagnetism (e.g., </w:t>
                </w:r>
                <w:proofErr w:type="spellStart"/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Oersted’s</w:t>
                </w:r>
                <w:proofErr w:type="spellEnd"/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principle, the motor principle, Faraday’s law,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Lenz’s law)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explain the operation of an electric motor</w:t>
                </w:r>
                <w:r w:rsidR="00056AAE"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and a generator, including the roles of their</w:t>
                </w:r>
                <w:r w:rsidR="002F3B67">
                  <w:t xml:space="preserve"> </w:t>
                </w:r>
              </w:p>
              <w:p w:rsidR="00FD7E9C" w:rsidRPr="00056AAE" w:rsidRDefault="00056AAE" w:rsidP="00056AAE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19"/>
                    <w:szCs w:val="19"/>
                    <w:lang w:val="en-US"/>
                  </w:rPr>
                  <w:t>F3.6 explain the operation of an electric motor and a generator, including the roles of their respective components</w:t>
                </w:r>
              </w:p>
            </w:tc>
          </w:tr>
          <w:tr w:rsidR="00FD7E9C">
            <w:tc>
              <w:tcPr>
                <w:tcW w:w="9350" w:type="dxa"/>
                <w:gridSpan w:val="4"/>
                <w:shd w:val="clear" w:color="auto" w:fill="A8D08D" w:themeFill="accent6" w:themeFillTint="99"/>
                <w:vAlign w:val="center"/>
              </w:tcPr>
              <w:p w:rsidR="00FD7E9C" w:rsidRPr="00AA33BC" w:rsidRDefault="00FD7E9C" w:rsidP="00056AAE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>
            <w:trPr>
              <w:trHeight w:val="5669"/>
            </w:trPr>
            <w:tc>
              <w:tcPr>
                <w:tcW w:w="6091" w:type="dxa"/>
                <w:gridSpan w:val="3"/>
              </w:tcPr>
              <w:p w:rsidR="00FD7E9C" w:rsidRDefault="00073167" w:rsidP="00B96332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073167" w:rsidRPr="002F3B67" w:rsidRDefault="00B96332" w:rsidP="00B96332">
                <w:r>
                  <w:t>Get students to list things powered using electricity and/or magnetism, such as electric motors.</w:t>
                </w:r>
              </w:p>
              <w:p w:rsidR="00073167" w:rsidRPr="002F3B67" w:rsidRDefault="00B96332" w:rsidP="00B96332">
                <w:r>
                  <w:t>Break the class into 3 or 4 groups.  Give them 3 minutes to come up with an idea about how electricity and magnetism might be used to create motion, then ask each to give a co</w:t>
                </w:r>
                <w:r w:rsidR="00E52AF5">
                  <w:t>ncise description of their idea, and ways it might affect society in positive and negative ways.</w:t>
                </w:r>
              </w:p>
              <w:p w:rsidR="00073167" w:rsidRPr="00AA33BC" w:rsidRDefault="00073167" w:rsidP="00B96332">
                <w:pPr>
                  <w:rPr>
                    <w:b/>
                  </w:rPr>
                </w:pPr>
              </w:p>
              <w:p w:rsidR="00FD7E9C" w:rsidRDefault="00FD7E9C" w:rsidP="00B96332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B96332">
                <w:pPr>
                  <w:rPr>
                    <w:b/>
                  </w:rPr>
                </w:pPr>
              </w:p>
              <w:p w:rsidR="002F3B67" w:rsidRDefault="002F3B67" w:rsidP="00B96332">
                <w:r>
                  <w:t xml:space="preserve">1) As a class, </w:t>
                </w:r>
                <w:r w:rsidR="00056AAE">
                  <w:t>describe the second left-hand rule, which relates to the force on a moving charge in a magnetic field</w:t>
                </w:r>
                <w:r>
                  <w:t xml:space="preserve">: </w:t>
                </w:r>
              </w:p>
              <w:p w:rsidR="002F3B67" w:rsidRDefault="00056AAE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Describe the rule</w:t>
                </w:r>
              </w:p>
              <w:p w:rsidR="002F3B67" w:rsidRDefault="00056AAE" w:rsidP="002F3B67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Draw various configurations on the board, and ask students, holding up their right hands as appropriate, to ascertain the force on the charge</w:t>
                </w:r>
              </w:p>
              <w:p w:rsidR="002F3B67" w:rsidRDefault="002F3B67" w:rsidP="002F3B67">
                <w:pPr>
                  <w:pStyle w:val="ListParagraph"/>
                </w:pPr>
              </w:p>
              <w:p w:rsidR="00056AAE" w:rsidRDefault="002F3B67" w:rsidP="002F3B67">
                <w:r>
                  <w:t xml:space="preserve">2) </w:t>
                </w:r>
                <w:r w:rsidR="00056AAE">
                  <w:t xml:space="preserve">Hand out materials, and ask students </w:t>
                </w:r>
                <w:r w:rsidR="00F7161D">
                  <w:t xml:space="preserve">working in pairs </w:t>
                </w:r>
                <w:r w:rsidR="00056AAE">
                  <w:t>to</w:t>
                </w:r>
              </w:p>
              <w:p w:rsidR="00F7161D" w:rsidRDefault="00F7161D" w:rsidP="00056AAE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Use iron filings to view, and draw the draw the field around a bar magnet (review)</w:t>
                </w:r>
              </w:p>
              <w:p w:rsidR="00F7161D" w:rsidRDefault="00F7161D" w:rsidP="00056AAE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Attach 2 rare-earth magnets to the negative end of a battery, and draw a diagram of the field</w:t>
                </w:r>
              </w:p>
              <w:p w:rsidR="00F7161D" w:rsidRDefault="00F7161D" w:rsidP="00056AAE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Design an armature with the copper wire</w:t>
                </w:r>
              </w:p>
              <w:p w:rsidR="00056AAE" w:rsidRDefault="00F7161D" w:rsidP="00056AAE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Use right-hand rule to explain how it works, and using words, diagrams, or other media to communicate their explanation</w:t>
                </w:r>
              </w:p>
              <w:p w:rsidR="00F7161D" w:rsidRDefault="00F7161D" w:rsidP="00B96332">
                <w:r>
                  <w:t>Collect diagrams (provide descriptive feedback)</w:t>
                </w:r>
              </w:p>
              <w:p w:rsidR="00073167" w:rsidRPr="00F7161D" w:rsidRDefault="00073167" w:rsidP="00B96332"/>
              <w:p w:rsidR="00926896" w:rsidRDefault="00073167" w:rsidP="00B96332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FD7E9C" w:rsidRDefault="00F7161D" w:rsidP="00F7161D">
                <w:r>
                  <w:t xml:space="preserve">Draw a few more scenarios on the board, and ask students to describe what will happen.  Can make into a game by asking students to work in pairs and vote on </w:t>
                </w:r>
                <w:r w:rsidR="003C7264">
                  <w:t xml:space="preserve">then justify their </w:t>
                </w:r>
                <w:r>
                  <w:t>answers.</w:t>
                </w:r>
              </w:p>
            </w:tc>
            <w:tc>
              <w:tcPr>
                <w:tcW w:w="3259" w:type="dxa"/>
              </w:tcPr>
              <w:p w:rsidR="00FD7E9C" w:rsidRDefault="00FD7E9C" w:rsidP="00B96332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056AAE" w:rsidRPr="00056AAE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blank piece of stiff paper</w:t>
                </w:r>
              </w:p>
              <w:p w:rsidR="00056AAE" w:rsidRPr="00056AAE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iron filings</w:t>
                </w:r>
              </w:p>
              <w:p w:rsidR="00056AAE" w:rsidRPr="00056AAE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bar magnets</w:t>
                </w:r>
              </w:p>
              <w:p w:rsidR="00056AAE" w:rsidRPr="00056AAE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small button-type rare-earth magnets</w:t>
                </w:r>
              </w:p>
              <w:p w:rsidR="00056AAE" w:rsidRPr="00056AAE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AA batteries</w:t>
                </w:r>
                <w:r w:rsidR="00F7161D">
                  <w:t>, positive end dented a little</w:t>
                </w:r>
              </w:p>
              <w:p w:rsidR="00073167" w:rsidRPr="00073167" w:rsidRDefault="00056AA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 xml:space="preserve">18 </w:t>
                </w:r>
                <w:proofErr w:type="spellStart"/>
                <w:r>
                  <w:t>ga</w:t>
                </w:r>
                <w:proofErr w:type="spellEnd"/>
                <w:r>
                  <w:t xml:space="preserve"> bare copper wire, cut into 15–20 cm lengths</w:t>
                </w: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Modifications/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Pr="00073167" w:rsidRDefault="00F7161D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Lesson is pretty tactile/visual, but students could be provided with pre-bent armatures or apparatus to facilitate bending, or if can’t write/draw could present their explanation aurally.</w:t>
                </w:r>
              </w:p>
              <w:p w:rsidR="00C4742B" w:rsidRDefault="00C4742B" w:rsidP="00A64297"/>
            </w:tc>
          </w:tr>
          <w:tr w:rsidR="00FD7E9C">
            <w:tc>
              <w:tcPr>
                <w:tcW w:w="9350" w:type="dxa"/>
                <w:gridSpan w:val="4"/>
                <w:shd w:val="clear" w:color="auto" w:fill="A8D08D" w:themeFill="accent6" w:themeFillTint="99"/>
                <w:vAlign w:val="center"/>
              </w:tcPr>
              <w:p w:rsidR="00FD7E9C" w:rsidRPr="00AA33BC" w:rsidRDefault="00FD7E9C" w:rsidP="00B96332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>
            <w:trPr>
              <w:trHeight w:val="1613"/>
            </w:trPr>
            <w:tc>
              <w:tcPr>
                <w:tcW w:w="9350" w:type="dxa"/>
                <w:gridSpan w:val="4"/>
              </w:tcPr>
              <w:p w:rsidR="00FD7E9C" w:rsidRDefault="00FD7E9C" w:rsidP="00B96332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B96332"/>
              <w:p w:rsidR="00FD7E9C" w:rsidRDefault="00FD7E9C" w:rsidP="00B96332"/>
              <w:p w:rsidR="00FD7E9C" w:rsidRDefault="00FD7E9C" w:rsidP="00B96332"/>
              <w:p w:rsidR="00FD7E9C" w:rsidRDefault="00FD7E9C" w:rsidP="00B96332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</w:sdtContent>
      <w:bookmarkStart w:id="0" w:name="_GoBack" w:displacedByCustomXml="next"/>
      <w:bookmarkEnd w:id="0" w:displacedByCustomXml="next"/>
    </w:sdt>
    <w:sectPr w:rsidR="001F6B78" w:rsidSect="00821E79">
      <w:pgSz w:w="12240" w:h="15840"/>
      <w:pgMar w:top="1440" w:right="1440" w:bottom="1440" w:left="1440" w:gutter="0"/>
      <w:pgNumType w:start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4E" w:rsidRDefault="0053444E" w:rsidP="00821E79">
      <w:pPr>
        <w:spacing w:after="0" w:line="240" w:lineRule="auto"/>
      </w:pPr>
      <w:r>
        <w:separator/>
      </w:r>
    </w:p>
  </w:endnote>
  <w:endnote w:type="continuationSeparator" w:id="0">
    <w:p w:rsidR="0053444E" w:rsidRDefault="0053444E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4E" w:rsidRDefault="0053444E" w:rsidP="00821E79">
      <w:pPr>
        <w:spacing w:after="0" w:line="240" w:lineRule="auto"/>
      </w:pPr>
      <w:r>
        <w:separator/>
      </w:r>
    </w:p>
  </w:footnote>
  <w:footnote w:type="continuationSeparator" w:id="0">
    <w:p w:rsidR="0053444E" w:rsidRDefault="0053444E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71220"/>
    <w:multiLevelType w:val="hybridMultilevel"/>
    <w:tmpl w:val="338AB05A"/>
    <w:lvl w:ilvl="0" w:tplc="791A7EEE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4"/>
  </w:num>
  <w:num w:numId="4">
    <w:abstractNumId w:val="8"/>
  </w:num>
  <w:num w:numId="5">
    <w:abstractNumId w:val="16"/>
  </w:num>
  <w:num w:numId="6">
    <w:abstractNumId w:val="31"/>
  </w:num>
  <w:num w:numId="7">
    <w:abstractNumId w:val="17"/>
  </w:num>
  <w:num w:numId="8">
    <w:abstractNumId w:val="33"/>
  </w:num>
  <w:num w:numId="9">
    <w:abstractNumId w:val="14"/>
  </w:num>
  <w:num w:numId="10">
    <w:abstractNumId w:val="11"/>
  </w:num>
  <w:num w:numId="11">
    <w:abstractNumId w:val="20"/>
  </w:num>
  <w:num w:numId="12">
    <w:abstractNumId w:val="21"/>
  </w:num>
  <w:num w:numId="13">
    <w:abstractNumId w:val="12"/>
  </w:num>
  <w:num w:numId="14">
    <w:abstractNumId w:val="35"/>
  </w:num>
  <w:num w:numId="15">
    <w:abstractNumId w:val="13"/>
  </w:num>
  <w:num w:numId="16">
    <w:abstractNumId w:val="3"/>
  </w:num>
  <w:num w:numId="17">
    <w:abstractNumId w:val="19"/>
  </w:num>
  <w:num w:numId="18">
    <w:abstractNumId w:val="37"/>
  </w:num>
  <w:num w:numId="19">
    <w:abstractNumId w:val="7"/>
  </w:num>
  <w:num w:numId="20">
    <w:abstractNumId w:val="4"/>
  </w:num>
  <w:num w:numId="21">
    <w:abstractNumId w:val="9"/>
  </w:num>
  <w:num w:numId="22">
    <w:abstractNumId w:val="0"/>
  </w:num>
  <w:num w:numId="23">
    <w:abstractNumId w:val="23"/>
  </w:num>
  <w:num w:numId="24">
    <w:abstractNumId w:val="24"/>
  </w:num>
  <w:num w:numId="25">
    <w:abstractNumId w:val="29"/>
  </w:num>
  <w:num w:numId="26">
    <w:abstractNumId w:val="18"/>
  </w:num>
  <w:num w:numId="27">
    <w:abstractNumId w:val="10"/>
  </w:num>
  <w:num w:numId="28">
    <w:abstractNumId w:val="6"/>
  </w:num>
  <w:num w:numId="29">
    <w:abstractNumId w:val="36"/>
  </w:num>
  <w:num w:numId="30">
    <w:abstractNumId w:val="5"/>
  </w:num>
  <w:num w:numId="31">
    <w:abstractNumId w:val="32"/>
  </w:num>
  <w:num w:numId="32">
    <w:abstractNumId w:val="28"/>
  </w:num>
  <w:num w:numId="33">
    <w:abstractNumId w:val="25"/>
  </w:num>
  <w:num w:numId="34">
    <w:abstractNumId w:val="27"/>
  </w:num>
  <w:num w:numId="35">
    <w:abstractNumId w:val="1"/>
  </w:num>
  <w:num w:numId="36">
    <w:abstractNumId w:val="15"/>
  </w:num>
  <w:num w:numId="37">
    <w:abstractNumId w:val="2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0004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663F"/>
    <w:rsid w:val="00010ACA"/>
    <w:rsid w:val="00056AAE"/>
    <w:rsid w:val="00073167"/>
    <w:rsid w:val="000809DF"/>
    <w:rsid w:val="00083088"/>
    <w:rsid w:val="00105E52"/>
    <w:rsid w:val="00114D4D"/>
    <w:rsid w:val="00154D88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3C7264"/>
    <w:rsid w:val="00423B34"/>
    <w:rsid w:val="0045309D"/>
    <w:rsid w:val="0045454A"/>
    <w:rsid w:val="004826BA"/>
    <w:rsid w:val="004E477A"/>
    <w:rsid w:val="0051022D"/>
    <w:rsid w:val="005318D8"/>
    <w:rsid w:val="0053444E"/>
    <w:rsid w:val="005A1ACE"/>
    <w:rsid w:val="006029A1"/>
    <w:rsid w:val="006062F6"/>
    <w:rsid w:val="00642B26"/>
    <w:rsid w:val="00655127"/>
    <w:rsid w:val="00675B0F"/>
    <w:rsid w:val="00687ABC"/>
    <w:rsid w:val="006954B2"/>
    <w:rsid w:val="00697D25"/>
    <w:rsid w:val="006B084F"/>
    <w:rsid w:val="006D5074"/>
    <w:rsid w:val="00735D64"/>
    <w:rsid w:val="00753395"/>
    <w:rsid w:val="007A742B"/>
    <w:rsid w:val="007E67A8"/>
    <w:rsid w:val="007F19BB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A64297"/>
    <w:rsid w:val="00AD22EE"/>
    <w:rsid w:val="00B63D60"/>
    <w:rsid w:val="00B63EBD"/>
    <w:rsid w:val="00B96332"/>
    <w:rsid w:val="00BD7112"/>
    <w:rsid w:val="00C4742B"/>
    <w:rsid w:val="00C84897"/>
    <w:rsid w:val="00CE39A9"/>
    <w:rsid w:val="00D4663F"/>
    <w:rsid w:val="00D4673F"/>
    <w:rsid w:val="00D656E8"/>
    <w:rsid w:val="00D92832"/>
    <w:rsid w:val="00D93EC2"/>
    <w:rsid w:val="00DA6C9B"/>
    <w:rsid w:val="00E10B83"/>
    <w:rsid w:val="00E1433D"/>
    <w:rsid w:val="00E52AF5"/>
    <w:rsid w:val="00E70835"/>
    <w:rsid w:val="00E74686"/>
    <w:rsid w:val="00EB4DD5"/>
    <w:rsid w:val="00F0171E"/>
    <w:rsid w:val="00F06392"/>
    <w:rsid w:val="00F06567"/>
    <w:rsid w:val="00F424B3"/>
    <w:rsid w:val="00F642F5"/>
    <w:rsid w:val="00F7161D"/>
    <w:rsid w:val="00F77601"/>
    <w:rsid w:val="00FD7E9C"/>
  </w:rsids>
  <m:mathPr>
    <m:mathFont m:val="StarSymbo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809DF"/>
    <w:rPr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390</Words>
  <Characters>2225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cp:lastModifiedBy>M</cp:lastModifiedBy>
  <cp:revision>2</cp:revision>
  <cp:lastPrinted>2015-10-03T14:15:00Z</cp:lastPrinted>
  <dcterms:created xsi:type="dcterms:W3CDTF">2017-01-23T17:14:00Z</dcterms:created>
  <dcterms:modified xsi:type="dcterms:W3CDTF">2017-02-09T11:19:00Z</dcterms:modified>
</cp:coreProperties>
</file>